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7C4" w:rsidRPr="000B5CA9" w:rsidRDefault="008047C4" w:rsidP="008047C4">
      <w:pPr>
        <w:pStyle w:val="1"/>
        <w:rPr>
          <w:rFonts w:ascii="Times New Roman" w:hAnsi="Times New Roman" w:cs="Times New Roman"/>
        </w:rPr>
      </w:pPr>
      <w:r w:rsidRPr="000B5CA9">
        <w:rPr>
          <w:rFonts w:ascii="Times New Roman" w:hAnsi="Times New Roman" w:cs="Times New Roman"/>
        </w:rPr>
        <w:t>Reply to reviewer 2:</w:t>
      </w:r>
    </w:p>
    <w:p w:rsidR="004E7F42" w:rsidRPr="000B5CA9" w:rsidRDefault="004E7F42" w:rsidP="004E7F42">
      <w:pPr>
        <w:rPr>
          <w:rFonts w:ascii="Times New Roman" w:hAnsi="Times New Roman" w:cs="Times New Roman"/>
        </w:rPr>
      </w:pPr>
      <w:r w:rsidRPr="000B5CA9">
        <w:rPr>
          <w:rFonts w:ascii="Times New Roman" w:hAnsi="Times New Roman" w:cs="Times New Roman"/>
        </w:rPr>
        <w:t>The manuscript has been revised earnestly according to the reviewer's suggestions. Thanks very much for the detailed guidance. The main modifications are listed below, and the revised manuscript is also submitted. Thank you again.</w:t>
      </w:r>
    </w:p>
    <w:p w:rsidR="004E7F42" w:rsidRPr="000B5CA9" w:rsidRDefault="004E7F42" w:rsidP="004E7F42">
      <w:pPr>
        <w:rPr>
          <w:rFonts w:ascii="Times New Roman" w:hAnsi="Times New Roman" w:cs="Times New Roman"/>
        </w:rPr>
      </w:pPr>
    </w:p>
    <w:p w:rsidR="008047C4" w:rsidRPr="000B5CA9" w:rsidRDefault="008047C4" w:rsidP="008A0062">
      <w:pPr>
        <w:rPr>
          <w:rFonts w:ascii="Times New Roman" w:hAnsi="Times New Roman" w:cs="Times New Roman"/>
        </w:rPr>
      </w:pPr>
      <w:r w:rsidRPr="000B5CA9">
        <w:rPr>
          <w:rFonts w:ascii="Times New Roman" w:hAnsi="Times New Roman" w:cs="Times New Roman"/>
        </w:rPr>
        <w:t xml:space="preserve">Question </w:t>
      </w:r>
      <w:r w:rsidR="008A0062" w:rsidRPr="000B5CA9">
        <w:rPr>
          <w:rFonts w:ascii="Times New Roman" w:hAnsi="Times New Roman" w:cs="Times New Roman"/>
        </w:rPr>
        <w:t>1</w:t>
      </w:r>
      <w:r w:rsidRPr="000B5CA9">
        <w:rPr>
          <w:rFonts w:ascii="Times New Roman" w:hAnsi="Times New Roman" w:cs="Times New Roman"/>
        </w:rPr>
        <w:t>:</w:t>
      </w:r>
      <w:r w:rsidR="008A0062" w:rsidRPr="000B5CA9">
        <w:rPr>
          <w:rFonts w:ascii="Times New Roman" w:hAnsi="Times New Roman" w:cs="Times New Roman"/>
        </w:rPr>
        <w:t xml:space="preserve"> Please add an introduction of the instruments to help the readers to understand the background, including the bands and resolution.</w:t>
      </w:r>
    </w:p>
    <w:p w:rsidR="007F39D8" w:rsidRPr="000B5CA9" w:rsidRDefault="008047C4" w:rsidP="00477A60">
      <w:pPr>
        <w:rPr>
          <w:rFonts w:ascii="Times New Roman" w:hAnsi="Times New Roman" w:cs="Times New Roman"/>
        </w:rPr>
      </w:pPr>
      <w:r w:rsidRPr="000B5CA9">
        <w:rPr>
          <w:rFonts w:ascii="Times New Roman" w:hAnsi="Times New Roman" w:cs="Times New Roman"/>
        </w:rPr>
        <w:t>Answer:</w:t>
      </w:r>
    </w:p>
    <w:p w:rsidR="00477A60" w:rsidRPr="000B5CA9" w:rsidRDefault="00477A60" w:rsidP="00477A60">
      <w:pPr>
        <w:rPr>
          <w:rFonts w:ascii="Times New Roman" w:hAnsi="Times New Roman" w:cs="Times New Roman"/>
        </w:rPr>
      </w:pPr>
      <w:r w:rsidRPr="000B5CA9">
        <w:rPr>
          <w:rFonts w:ascii="Times New Roman" w:hAnsi="Times New Roman" w:cs="Times New Roman"/>
        </w:rPr>
        <w:t>Geostationary imager is the most effective instrument onboard the geostationary satellites all over the world. AGRI is the core instrument of FY-4A satellite, which aims to carry out high temporal and spatial resolution imaging of the atmosphere, cloud, land and ocean, in over 14 spectral bands in visible (VIS), near infrared (NIR) and infrared (IR) spectral regions, providing important information for weather analysis and forecast, climate research, environment and disaster monitoring. Main parameters of AGRI are shown is Table 1, and the information of its 14 bands is summarized in Table 2.</w:t>
      </w:r>
    </w:p>
    <w:p w:rsidR="00477A60" w:rsidRPr="000B5CA9" w:rsidRDefault="00477A60" w:rsidP="00477A60">
      <w:pPr>
        <w:pStyle w:val="a6"/>
      </w:pPr>
      <w:proofErr w:type="gramStart"/>
      <w:r w:rsidRPr="000B5CA9">
        <w:rPr>
          <w:rFonts w:eastAsiaTheme="minorEastAsia"/>
          <w:lang w:eastAsia="zh-CN"/>
        </w:rPr>
        <w:t>Table</w:t>
      </w:r>
      <w:r w:rsidRPr="000B5CA9">
        <w:t xml:space="preserve"> </w:t>
      </w:r>
      <w:r w:rsidR="00F773A0" w:rsidRPr="000B5CA9">
        <w:fldChar w:fldCharType="begin"/>
      </w:r>
      <w:r w:rsidRPr="000B5CA9">
        <w:instrText xml:space="preserve"> SEQ Figure \* ARABIC </w:instrText>
      </w:r>
      <w:r w:rsidR="00F773A0" w:rsidRPr="000B5CA9">
        <w:fldChar w:fldCharType="separate"/>
      </w:r>
      <w:r w:rsidRPr="000B5CA9">
        <w:rPr>
          <w:noProof/>
        </w:rPr>
        <w:t>1</w:t>
      </w:r>
      <w:r w:rsidR="00F773A0" w:rsidRPr="000B5CA9">
        <w:fldChar w:fldCharType="end"/>
      </w:r>
      <w:r w:rsidRPr="000B5CA9">
        <w:t xml:space="preserve">: </w:t>
      </w:r>
      <w:r w:rsidRPr="000B5CA9">
        <w:rPr>
          <w:rFonts w:eastAsiaTheme="minorEastAsia"/>
          <w:lang w:eastAsia="zh-CN"/>
        </w:rPr>
        <w:t>Main parameters</w:t>
      </w:r>
      <w:r w:rsidRPr="000B5CA9">
        <w:t xml:space="preserve"> of AGRI.</w:t>
      </w:r>
      <w:proofErr w:type="gramEnd"/>
    </w:p>
    <w:tbl>
      <w:tblPr>
        <w:tblW w:w="0" w:type="auto"/>
        <w:tblBorders>
          <w:bottom w:val="single" w:sz="4" w:space="0" w:color="auto"/>
        </w:tblBorders>
        <w:tblLayout w:type="fixed"/>
        <w:tblLook w:val="0000"/>
      </w:tblPr>
      <w:tblGrid>
        <w:gridCol w:w="1969"/>
        <w:gridCol w:w="4205"/>
      </w:tblGrid>
      <w:tr w:rsidR="00477A60" w:rsidRPr="000B5CA9" w:rsidTr="00426E3B">
        <w:trPr>
          <w:cantSplit/>
        </w:trPr>
        <w:tc>
          <w:tcPr>
            <w:tcW w:w="1969" w:type="dxa"/>
            <w:tcBorders>
              <w:top w:val="single" w:sz="4" w:space="0" w:color="auto"/>
              <w:bottom w:val="single" w:sz="4" w:space="0" w:color="auto"/>
            </w:tcBorders>
          </w:tcPr>
          <w:p w:rsidR="00477A60" w:rsidRPr="000B5CA9" w:rsidRDefault="00477A60" w:rsidP="007F39D8">
            <w:pPr>
              <w:rPr>
                <w:rFonts w:ascii="Times New Roman" w:hAnsi="Times New Roman" w:cs="Times New Roman"/>
                <w:b/>
                <w:sz w:val="18"/>
              </w:rPr>
            </w:pPr>
            <w:r w:rsidRPr="000B5CA9">
              <w:rPr>
                <w:rFonts w:ascii="Times New Roman" w:hAnsi="Times New Roman" w:cs="Times New Roman"/>
                <w:b/>
                <w:sz w:val="18"/>
              </w:rPr>
              <w:t>Ind</w:t>
            </w:r>
            <w:r w:rsidR="007F39D8" w:rsidRPr="000B5CA9">
              <w:rPr>
                <w:rFonts w:ascii="Times New Roman" w:hAnsi="Times New Roman" w:cs="Times New Roman"/>
                <w:b/>
                <w:sz w:val="18"/>
              </w:rPr>
              <w:t>ex</w:t>
            </w:r>
          </w:p>
        </w:tc>
        <w:tc>
          <w:tcPr>
            <w:tcW w:w="4205" w:type="dxa"/>
            <w:tcBorders>
              <w:top w:val="single" w:sz="4" w:space="0" w:color="auto"/>
              <w:bottom w:val="single" w:sz="4" w:space="0" w:color="auto"/>
            </w:tcBorders>
          </w:tcPr>
          <w:p w:rsidR="00477A60" w:rsidRPr="000B5CA9" w:rsidRDefault="00477A60" w:rsidP="00426E3B">
            <w:pPr>
              <w:rPr>
                <w:rFonts w:ascii="Times New Roman" w:hAnsi="Times New Roman" w:cs="Times New Roman"/>
                <w:b/>
                <w:sz w:val="18"/>
              </w:rPr>
            </w:pPr>
            <w:r w:rsidRPr="000B5CA9">
              <w:rPr>
                <w:rFonts w:ascii="Times New Roman" w:hAnsi="Times New Roman" w:cs="Times New Roman"/>
                <w:b/>
                <w:sz w:val="18"/>
              </w:rPr>
              <w:t>Parameter</w:t>
            </w:r>
          </w:p>
        </w:tc>
      </w:tr>
      <w:tr w:rsidR="00477A60" w:rsidRPr="000B5CA9" w:rsidTr="00426E3B">
        <w:trPr>
          <w:cantSplit/>
        </w:trPr>
        <w:tc>
          <w:tcPr>
            <w:tcW w:w="1969" w:type="dxa"/>
            <w:tcBorders>
              <w:top w:val="nil"/>
            </w:tcBorders>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Bands</w:t>
            </w:r>
          </w:p>
        </w:tc>
        <w:tc>
          <w:tcPr>
            <w:tcW w:w="4205" w:type="dxa"/>
            <w:tcBorders>
              <w:top w:val="nil"/>
            </w:tcBorders>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14</w:t>
            </w:r>
          </w:p>
        </w:tc>
      </w:tr>
      <w:tr w:rsidR="00477A60" w:rsidRPr="000B5CA9" w:rsidTr="00426E3B">
        <w:trPr>
          <w:cantSplit/>
        </w:trPr>
        <w:tc>
          <w:tcPr>
            <w:tcW w:w="1969"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Spatial resolution</w:t>
            </w:r>
          </w:p>
        </w:tc>
        <w:tc>
          <w:tcPr>
            <w:tcW w:w="420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visible: 0.5-1 km</w:t>
            </w:r>
          </w:p>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near infrared: 2 km</w:t>
            </w:r>
          </w:p>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infrared: 4 km</w:t>
            </w:r>
          </w:p>
        </w:tc>
      </w:tr>
      <w:tr w:rsidR="00477A60" w:rsidRPr="000B5CA9" w:rsidTr="00426E3B">
        <w:trPr>
          <w:cantSplit/>
        </w:trPr>
        <w:tc>
          <w:tcPr>
            <w:tcW w:w="1969"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Temporal resolution</w:t>
            </w:r>
          </w:p>
        </w:tc>
        <w:tc>
          <w:tcPr>
            <w:tcW w:w="420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15 minutes/full disk</w:t>
            </w:r>
          </w:p>
        </w:tc>
      </w:tr>
      <w:tr w:rsidR="00477A60" w:rsidRPr="000B5CA9" w:rsidTr="00426E3B">
        <w:trPr>
          <w:cantSplit/>
        </w:trPr>
        <w:tc>
          <w:tcPr>
            <w:tcW w:w="1969"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Field of observation</w:t>
            </w:r>
          </w:p>
        </w:tc>
        <w:tc>
          <w:tcPr>
            <w:tcW w:w="420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 xml:space="preserve">21° NS </w:t>
            </w:r>
            <w:r w:rsidRPr="000B5CA9">
              <w:rPr>
                <w:rFonts w:ascii="Times New Roman" w:eastAsia="宋体" w:hAnsi="宋体" w:cs="Times New Roman"/>
                <w:sz w:val="18"/>
                <w:szCs w:val="20"/>
              </w:rPr>
              <w:t>╳</w:t>
            </w:r>
            <w:r w:rsidRPr="000B5CA9">
              <w:rPr>
                <w:rFonts w:ascii="Times New Roman" w:hAnsi="Times New Roman" w:cs="Times New Roman"/>
                <w:sz w:val="18"/>
                <w:szCs w:val="20"/>
              </w:rPr>
              <w:t xml:space="preserve"> 23° EW, with regional observation ability</w:t>
            </w:r>
          </w:p>
        </w:tc>
      </w:tr>
      <w:tr w:rsidR="00477A60" w:rsidRPr="000B5CA9" w:rsidTr="00426E3B">
        <w:trPr>
          <w:cantSplit/>
        </w:trPr>
        <w:tc>
          <w:tcPr>
            <w:tcW w:w="1969"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Star sensing ability</w:t>
            </w:r>
          </w:p>
        </w:tc>
        <w:tc>
          <w:tcPr>
            <w:tcW w:w="420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 xml:space="preserve">6 </w:t>
            </w:r>
            <w:proofErr w:type="spellStart"/>
            <w:r w:rsidRPr="000B5CA9">
              <w:rPr>
                <w:rFonts w:ascii="Times New Roman" w:hAnsi="Times New Roman" w:cs="Times New Roman"/>
                <w:sz w:val="18"/>
                <w:szCs w:val="20"/>
              </w:rPr>
              <w:t>Mv</w:t>
            </w:r>
            <w:proofErr w:type="spellEnd"/>
          </w:p>
        </w:tc>
      </w:tr>
      <w:tr w:rsidR="00477A60" w:rsidRPr="000B5CA9" w:rsidTr="00426E3B">
        <w:trPr>
          <w:cantSplit/>
        </w:trPr>
        <w:tc>
          <w:tcPr>
            <w:tcW w:w="1969"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Navigation accuracy</w:t>
            </w:r>
          </w:p>
        </w:tc>
        <w:tc>
          <w:tcPr>
            <w:tcW w:w="420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1 infrared pixel</w:t>
            </w:r>
          </w:p>
        </w:tc>
      </w:tr>
      <w:tr w:rsidR="00477A60" w:rsidRPr="000B5CA9" w:rsidTr="00426E3B">
        <w:trPr>
          <w:cantSplit/>
        </w:trPr>
        <w:tc>
          <w:tcPr>
            <w:tcW w:w="1969"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Calibration accuracy</w:t>
            </w:r>
          </w:p>
        </w:tc>
        <w:tc>
          <w:tcPr>
            <w:tcW w:w="420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0.5-1 K</w:t>
            </w:r>
          </w:p>
        </w:tc>
      </w:tr>
    </w:tbl>
    <w:p w:rsidR="00477A60" w:rsidRPr="000B5CA9" w:rsidRDefault="00477A60" w:rsidP="00477A60">
      <w:pPr>
        <w:rPr>
          <w:rFonts w:ascii="Times New Roman" w:hAnsi="Times New Roman" w:cs="Times New Roman"/>
        </w:rPr>
      </w:pPr>
    </w:p>
    <w:p w:rsidR="00477A60" w:rsidRPr="000B5CA9" w:rsidRDefault="00477A60" w:rsidP="00477A60">
      <w:pPr>
        <w:pStyle w:val="a6"/>
      </w:pPr>
      <w:r w:rsidRPr="000B5CA9">
        <w:rPr>
          <w:rFonts w:eastAsiaTheme="minorEastAsia"/>
          <w:lang w:eastAsia="zh-CN"/>
        </w:rPr>
        <w:t>Table</w:t>
      </w:r>
      <w:r w:rsidRPr="000B5CA9">
        <w:t xml:space="preserve"> </w:t>
      </w:r>
      <w:r w:rsidRPr="000B5CA9">
        <w:rPr>
          <w:rFonts w:eastAsiaTheme="minorEastAsia"/>
          <w:lang w:eastAsia="zh-CN"/>
        </w:rPr>
        <w:t>2</w:t>
      </w:r>
      <w:r w:rsidRPr="000B5CA9">
        <w:t xml:space="preserve">: </w:t>
      </w:r>
      <w:r w:rsidRPr="000B5CA9">
        <w:rPr>
          <w:rFonts w:eastAsiaTheme="minorEastAsia"/>
          <w:lang w:eastAsia="zh-CN"/>
        </w:rPr>
        <w:t>Spectral configuration</w:t>
      </w:r>
      <w:r w:rsidRPr="000B5CA9">
        <w:t xml:space="preserve"> of AGRI.</w:t>
      </w:r>
    </w:p>
    <w:tbl>
      <w:tblPr>
        <w:tblW w:w="0" w:type="auto"/>
        <w:tblBorders>
          <w:bottom w:val="single" w:sz="4" w:space="0" w:color="auto"/>
        </w:tblBorders>
        <w:tblLayout w:type="fixed"/>
        <w:tblLook w:val="0000"/>
      </w:tblPr>
      <w:tblGrid>
        <w:gridCol w:w="691"/>
        <w:gridCol w:w="1812"/>
        <w:gridCol w:w="1862"/>
        <w:gridCol w:w="3455"/>
      </w:tblGrid>
      <w:tr w:rsidR="00477A60" w:rsidRPr="000B5CA9" w:rsidTr="00426E3B">
        <w:trPr>
          <w:cantSplit/>
        </w:trPr>
        <w:tc>
          <w:tcPr>
            <w:tcW w:w="691" w:type="dxa"/>
            <w:tcBorders>
              <w:top w:val="single" w:sz="4" w:space="0" w:color="auto"/>
              <w:bottom w:val="single" w:sz="4" w:space="0" w:color="auto"/>
            </w:tcBorders>
            <w:vAlign w:val="center"/>
          </w:tcPr>
          <w:p w:rsidR="00477A60" w:rsidRPr="000B5CA9" w:rsidRDefault="00477A60" w:rsidP="00426E3B">
            <w:pPr>
              <w:jc w:val="center"/>
              <w:rPr>
                <w:rFonts w:ascii="Times New Roman" w:hAnsi="Times New Roman" w:cs="Times New Roman"/>
                <w:b/>
                <w:sz w:val="18"/>
              </w:rPr>
            </w:pPr>
            <w:r w:rsidRPr="000B5CA9">
              <w:rPr>
                <w:rFonts w:ascii="Times New Roman" w:hAnsi="Times New Roman" w:cs="Times New Roman"/>
                <w:b/>
                <w:sz w:val="18"/>
              </w:rPr>
              <w:t>No.</w:t>
            </w:r>
          </w:p>
        </w:tc>
        <w:tc>
          <w:tcPr>
            <w:tcW w:w="1812" w:type="dxa"/>
            <w:tcBorders>
              <w:top w:val="single" w:sz="4" w:space="0" w:color="auto"/>
              <w:bottom w:val="single" w:sz="4" w:space="0" w:color="auto"/>
            </w:tcBorders>
            <w:vAlign w:val="center"/>
          </w:tcPr>
          <w:p w:rsidR="00477A60" w:rsidRPr="000B5CA9" w:rsidRDefault="00477A60" w:rsidP="00426E3B">
            <w:pPr>
              <w:jc w:val="center"/>
              <w:rPr>
                <w:rFonts w:ascii="Times New Roman" w:hAnsi="Times New Roman" w:cs="Times New Roman"/>
                <w:b/>
                <w:sz w:val="18"/>
              </w:rPr>
            </w:pPr>
            <w:r w:rsidRPr="000B5CA9">
              <w:rPr>
                <w:rFonts w:ascii="Times New Roman" w:hAnsi="Times New Roman" w:cs="Times New Roman"/>
                <w:b/>
                <w:sz w:val="18"/>
              </w:rPr>
              <w:t>Central band / um</w:t>
            </w:r>
          </w:p>
        </w:tc>
        <w:tc>
          <w:tcPr>
            <w:tcW w:w="1862" w:type="dxa"/>
            <w:tcBorders>
              <w:top w:val="single" w:sz="4" w:space="0" w:color="auto"/>
              <w:bottom w:val="single" w:sz="4" w:space="0" w:color="auto"/>
            </w:tcBorders>
            <w:vAlign w:val="center"/>
          </w:tcPr>
          <w:p w:rsidR="00477A60" w:rsidRPr="000B5CA9" w:rsidRDefault="00477A60" w:rsidP="00426E3B">
            <w:pPr>
              <w:jc w:val="center"/>
              <w:rPr>
                <w:rFonts w:ascii="Times New Roman" w:hAnsi="Times New Roman" w:cs="Times New Roman"/>
                <w:b/>
                <w:sz w:val="18"/>
              </w:rPr>
            </w:pPr>
            <w:r w:rsidRPr="000B5CA9">
              <w:rPr>
                <w:rFonts w:ascii="Times New Roman" w:hAnsi="Times New Roman" w:cs="Times New Roman"/>
                <w:b/>
                <w:sz w:val="18"/>
              </w:rPr>
              <w:t>Spectral band / um</w:t>
            </w:r>
          </w:p>
        </w:tc>
        <w:tc>
          <w:tcPr>
            <w:tcW w:w="3455" w:type="dxa"/>
            <w:tcBorders>
              <w:top w:val="single" w:sz="4" w:space="0" w:color="auto"/>
              <w:bottom w:val="single" w:sz="4" w:space="0" w:color="auto"/>
            </w:tcBorders>
            <w:vAlign w:val="center"/>
          </w:tcPr>
          <w:p w:rsidR="00477A60" w:rsidRPr="000B5CA9" w:rsidRDefault="00477A60" w:rsidP="00426E3B">
            <w:pPr>
              <w:jc w:val="center"/>
              <w:rPr>
                <w:rFonts w:ascii="Times New Roman" w:hAnsi="Times New Roman" w:cs="Times New Roman"/>
                <w:b/>
                <w:sz w:val="18"/>
              </w:rPr>
            </w:pPr>
            <w:r w:rsidRPr="000B5CA9">
              <w:rPr>
                <w:rFonts w:ascii="Times New Roman" w:hAnsi="Times New Roman" w:cs="Times New Roman"/>
                <w:b/>
                <w:sz w:val="18"/>
              </w:rPr>
              <w:t>Main applications</w:t>
            </w:r>
          </w:p>
        </w:tc>
      </w:tr>
      <w:tr w:rsidR="00477A60" w:rsidRPr="000B5CA9" w:rsidTr="00426E3B">
        <w:trPr>
          <w:cantSplit/>
        </w:trPr>
        <w:tc>
          <w:tcPr>
            <w:tcW w:w="691" w:type="dxa"/>
            <w:tcBorders>
              <w:top w:val="nil"/>
            </w:tcBorders>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w:t>
            </w:r>
          </w:p>
        </w:tc>
        <w:tc>
          <w:tcPr>
            <w:tcW w:w="1812" w:type="dxa"/>
            <w:tcBorders>
              <w:top w:val="nil"/>
            </w:tcBorders>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0.47</w:t>
            </w:r>
          </w:p>
        </w:tc>
        <w:tc>
          <w:tcPr>
            <w:tcW w:w="1862" w:type="dxa"/>
            <w:tcBorders>
              <w:top w:val="nil"/>
            </w:tcBorders>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0.45-0.49</w:t>
            </w:r>
          </w:p>
        </w:tc>
        <w:tc>
          <w:tcPr>
            <w:tcW w:w="3455" w:type="dxa"/>
            <w:tcBorders>
              <w:top w:val="nil"/>
            </w:tcBorders>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aerosol, color image synthesis</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2</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0.65</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0.55-0.75</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vegetation, star sensing</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3</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0.825</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0.75-0.90</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vegetation, aerosol</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4</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1.375</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1.36-1.39</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cirrus</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5</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1.61</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1.58-1.64</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cloud, fire</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6</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2.225</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2.10-2.35</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cirrus, aerosol</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7</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3.375</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3.50-4.00</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cloud, fire/ land surface</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8</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6.25</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5.80-6.70</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upper-level water vapor</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9</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6.95</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6.75-7.15</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mid-level water vapor</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10</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7.42</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7.24-7.60</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low-level water vapor</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lastRenderedPageBreak/>
              <w:t>11</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8.70</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8.40-9.00</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integrated water vapor, cloud</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12</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10.80</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10.30-11.30</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cloud, temperature</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13</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12.00</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11.50-12.50</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cloud, integrated water vapor, temperature</w:t>
            </w:r>
          </w:p>
        </w:tc>
      </w:tr>
      <w:tr w:rsidR="00477A60" w:rsidRPr="000B5CA9" w:rsidTr="00426E3B">
        <w:trPr>
          <w:cantSplit/>
        </w:trPr>
        <w:tc>
          <w:tcPr>
            <w:tcW w:w="691"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14</w:t>
            </w:r>
          </w:p>
        </w:tc>
        <w:tc>
          <w:tcPr>
            <w:tcW w:w="181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13.50</w:t>
            </w:r>
          </w:p>
        </w:tc>
        <w:tc>
          <w:tcPr>
            <w:tcW w:w="1862"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13.20-13.80</w:t>
            </w:r>
          </w:p>
        </w:tc>
        <w:tc>
          <w:tcPr>
            <w:tcW w:w="3455" w:type="dxa"/>
            <w:vAlign w:val="center"/>
          </w:tcPr>
          <w:p w:rsidR="00477A60" w:rsidRPr="000B5CA9" w:rsidRDefault="00477A60" w:rsidP="00426E3B">
            <w:pPr>
              <w:jc w:val="center"/>
              <w:rPr>
                <w:rFonts w:ascii="Times New Roman" w:hAnsi="Times New Roman" w:cs="Times New Roman"/>
                <w:sz w:val="18"/>
                <w:szCs w:val="20"/>
              </w:rPr>
            </w:pPr>
            <w:r w:rsidRPr="000B5CA9">
              <w:rPr>
                <w:rFonts w:ascii="Times New Roman" w:hAnsi="Times New Roman" w:cs="Times New Roman"/>
                <w:sz w:val="18"/>
                <w:szCs w:val="20"/>
              </w:rPr>
              <w:t>cloud, water vapor</w:t>
            </w:r>
          </w:p>
        </w:tc>
      </w:tr>
    </w:tbl>
    <w:p w:rsidR="008047C4" w:rsidRPr="000B5CA9" w:rsidRDefault="008047C4" w:rsidP="008047C4">
      <w:pPr>
        <w:rPr>
          <w:rFonts w:ascii="Times New Roman" w:hAnsi="Times New Roman" w:cs="Times New Roman"/>
        </w:rPr>
      </w:pPr>
    </w:p>
    <w:p w:rsidR="00477A60" w:rsidRPr="000B5CA9" w:rsidRDefault="00477A60" w:rsidP="00477A60">
      <w:pPr>
        <w:rPr>
          <w:rFonts w:ascii="Times New Roman" w:hAnsi="Times New Roman" w:cs="Times New Roman"/>
        </w:rPr>
      </w:pPr>
      <w:r w:rsidRPr="000B5CA9">
        <w:rPr>
          <w:rFonts w:ascii="Times New Roman" w:hAnsi="Times New Roman" w:cs="Times New Roman"/>
        </w:rPr>
        <w:t xml:space="preserve">GIIRS is another important instrument onboard FY-4A. Its main objective is to detect atmospheric temperature, moisture and trace gas content precisely, providing input data for numerical weather forecast, disastrous weather monitoring and atmospheric chemical composition detection. It has visible, medium / shortwave and </w:t>
      </w:r>
      <w:proofErr w:type="spellStart"/>
      <w:r w:rsidRPr="000B5CA9">
        <w:rPr>
          <w:rFonts w:ascii="Times New Roman" w:hAnsi="Times New Roman" w:cs="Times New Roman"/>
        </w:rPr>
        <w:t>longwave</w:t>
      </w:r>
      <w:proofErr w:type="spellEnd"/>
      <w:r w:rsidRPr="000B5CA9">
        <w:rPr>
          <w:rFonts w:ascii="Times New Roman" w:hAnsi="Times New Roman" w:cs="Times New Roman"/>
        </w:rPr>
        <w:t xml:space="preserve"> IR bands. Main parameters of GIIRS are shown is Table 4.</w:t>
      </w:r>
    </w:p>
    <w:p w:rsidR="00477A60" w:rsidRPr="000B5CA9" w:rsidRDefault="00477A60" w:rsidP="00477A60">
      <w:pPr>
        <w:pStyle w:val="a6"/>
      </w:pPr>
      <w:proofErr w:type="gramStart"/>
      <w:r w:rsidRPr="000B5CA9">
        <w:rPr>
          <w:rFonts w:eastAsiaTheme="minorEastAsia"/>
          <w:lang w:eastAsia="zh-CN"/>
        </w:rPr>
        <w:t>Table</w:t>
      </w:r>
      <w:r w:rsidRPr="000B5CA9">
        <w:t xml:space="preserve"> </w:t>
      </w:r>
      <w:r w:rsidRPr="000B5CA9">
        <w:rPr>
          <w:rFonts w:eastAsiaTheme="minorEastAsia"/>
          <w:lang w:eastAsia="zh-CN"/>
        </w:rPr>
        <w:t>4</w:t>
      </w:r>
      <w:r w:rsidRPr="000B5CA9">
        <w:t xml:space="preserve">: </w:t>
      </w:r>
      <w:r w:rsidRPr="000B5CA9">
        <w:rPr>
          <w:rFonts w:eastAsiaTheme="minorEastAsia"/>
          <w:lang w:eastAsia="zh-CN"/>
        </w:rPr>
        <w:t>Main parameters</w:t>
      </w:r>
      <w:r w:rsidRPr="000B5CA9">
        <w:t xml:space="preserve"> of </w:t>
      </w:r>
      <w:r w:rsidRPr="000B5CA9">
        <w:rPr>
          <w:rFonts w:eastAsiaTheme="minorEastAsia"/>
          <w:lang w:eastAsia="zh-CN"/>
        </w:rPr>
        <w:t>GIIRS</w:t>
      </w:r>
      <w:r w:rsidRPr="000B5CA9">
        <w:t>.</w:t>
      </w:r>
      <w:proofErr w:type="gramEnd"/>
    </w:p>
    <w:tbl>
      <w:tblPr>
        <w:tblW w:w="0" w:type="auto"/>
        <w:tblBorders>
          <w:bottom w:val="single" w:sz="4" w:space="0" w:color="auto"/>
        </w:tblBorders>
        <w:tblLayout w:type="fixed"/>
        <w:tblLook w:val="0000"/>
      </w:tblPr>
      <w:tblGrid>
        <w:gridCol w:w="2595"/>
        <w:gridCol w:w="3663"/>
      </w:tblGrid>
      <w:tr w:rsidR="00477A60" w:rsidRPr="000B5CA9" w:rsidTr="007F39D8">
        <w:trPr>
          <w:cantSplit/>
        </w:trPr>
        <w:tc>
          <w:tcPr>
            <w:tcW w:w="2595" w:type="dxa"/>
            <w:tcBorders>
              <w:top w:val="single" w:sz="4" w:space="0" w:color="auto"/>
              <w:bottom w:val="single" w:sz="4" w:space="0" w:color="auto"/>
            </w:tcBorders>
          </w:tcPr>
          <w:p w:rsidR="00477A60" w:rsidRPr="000B5CA9" w:rsidRDefault="007F39D8" w:rsidP="00426E3B">
            <w:pPr>
              <w:rPr>
                <w:rFonts w:ascii="Times New Roman" w:hAnsi="Times New Roman" w:cs="Times New Roman"/>
                <w:b/>
                <w:sz w:val="18"/>
              </w:rPr>
            </w:pPr>
            <w:r w:rsidRPr="000B5CA9">
              <w:rPr>
                <w:rFonts w:ascii="Times New Roman" w:hAnsi="Times New Roman" w:cs="Times New Roman"/>
                <w:b/>
                <w:sz w:val="18"/>
              </w:rPr>
              <w:t>Index</w:t>
            </w:r>
          </w:p>
        </w:tc>
        <w:tc>
          <w:tcPr>
            <w:tcW w:w="3663" w:type="dxa"/>
            <w:tcBorders>
              <w:top w:val="single" w:sz="4" w:space="0" w:color="auto"/>
              <w:bottom w:val="single" w:sz="4" w:space="0" w:color="auto"/>
            </w:tcBorders>
          </w:tcPr>
          <w:p w:rsidR="00477A60" w:rsidRPr="000B5CA9" w:rsidRDefault="00477A60" w:rsidP="00426E3B">
            <w:pPr>
              <w:rPr>
                <w:rFonts w:ascii="Times New Roman" w:hAnsi="Times New Roman" w:cs="Times New Roman"/>
                <w:b/>
                <w:sz w:val="18"/>
              </w:rPr>
            </w:pPr>
            <w:r w:rsidRPr="000B5CA9">
              <w:rPr>
                <w:rFonts w:ascii="Times New Roman" w:hAnsi="Times New Roman" w:cs="Times New Roman"/>
                <w:b/>
                <w:sz w:val="18"/>
              </w:rPr>
              <w:t>Parameter</w:t>
            </w:r>
          </w:p>
        </w:tc>
      </w:tr>
      <w:tr w:rsidR="00477A60" w:rsidRPr="000B5CA9" w:rsidTr="007F39D8">
        <w:trPr>
          <w:cantSplit/>
        </w:trPr>
        <w:tc>
          <w:tcPr>
            <w:tcW w:w="2595" w:type="dxa"/>
            <w:tcBorders>
              <w:top w:val="nil"/>
            </w:tcBorders>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Spectral parameter</w:t>
            </w:r>
          </w:p>
        </w:tc>
        <w:tc>
          <w:tcPr>
            <w:tcW w:w="3663" w:type="dxa"/>
            <w:tcBorders>
              <w:top w:val="nil"/>
            </w:tcBorders>
            <w:vAlign w:val="center"/>
          </w:tcPr>
          <w:p w:rsidR="00477A60" w:rsidRPr="000B5CA9" w:rsidRDefault="00477A60" w:rsidP="00426E3B">
            <w:pPr>
              <w:rPr>
                <w:rFonts w:ascii="Times New Roman" w:hAnsi="Times New Roman" w:cs="Times New Roman"/>
                <w:sz w:val="18"/>
                <w:szCs w:val="20"/>
              </w:rPr>
            </w:pPr>
            <w:proofErr w:type="spellStart"/>
            <w:r w:rsidRPr="000B5CA9">
              <w:rPr>
                <w:rFonts w:ascii="Times New Roman" w:hAnsi="Times New Roman" w:cs="Times New Roman"/>
                <w:sz w:val="18"/>
                <w:szCs w:val="20"/>
              </w:rPr>
              <w:t>longwave</w:t>
            </w:r>
            <w:proofErr w:type="spellEnd"/>
            <w:r w:rsidRPr="000B5CA9">
              <w:rPr>
                <w:rFonts w:ascii="Times New Roman" w:hAnsi="Times New Roman" w:cs="Times New Roman"/>
                <w:sz w:val="18"/>
                <w:szCs w:val="20"/>
              </w:rPr>
              <w:t xml:space="preserve"> IR: 700-1130 cm</w:t>
            </w:r>
            <w:r w:rsidRPr="000B5CA9">
              <w:rPr>
                <w:rFonts w:ascii="Times New Roman" w:hAnsi="Times New Roman" w:cs="Times New Roman"/>
                <w:sz w:val="18"/>
                <w:szCs w:val="20"/>
                <w:vertAlign w:val="superscript"/>
              </w:rPr>
              <w:t>-1</w:t>
            </w:r>
          </w:p>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medium / shortwave IR: 1650-2250 cm</w:t>
            </w:r>
            <w:r w:rsidRPr="000B5CA9">
              <w:rPr>
                <w:rFonts w:ascii="Times New Roman" w:hAnsi="Times New Roman" w:cs="Times New Roman"/>
                <w:sz w:val="18"/>
                <w:szCs w:val="20"/>
                <w:vertAlign w:val="superscript"/>
              </w:rPr>
              <w:t>-1</w:t>
            </w:r>
          </w:p>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visible: 0.55-0.75 um</w:t>
            </w:r>
          </w:p>
        </w:tc>
      </w:tr>
      <w:tr w:rsidR="00477A60" w:rsidRPr="000B5CA9" w:rsidTr="007F39D8">
        <w:trPr>
          <w:cantSplit/>
        </w:trPr>
        <w:tc>
          <w:tcPr>
            <w:tcW w:w="2595" w:type="dxa"/>
            <w:tcBorders>
              <w:top w:val="nil"/>
            </w:tcBorders>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Spectral resolution</w:t>
            </w:r>
          </w:p>
        </w:tc>
        <w:tc>
          <w:tcPr>
            <w:tcW w:w="3663" w:type="dxa"/>
            <w:tcBorders>
              <w:top w:val="nil"/>
            </w:tcBorders>
            <w:vAlign w:val="center"/>
          </w:tcPr>
          <w:p w:rsidR="00477A60" w:rsidRPr="000B5CA9" w:rsidRDefault="00477A60" w:rsidP="00426E3B">
            <w:pPr>
              <w:rPr>
                <w:rFonts w:ascii="Times New Roman" w:hAnsi="Times New Roman" w:cs="Times New Roman"/>
                <w:sz w:val="18"/>
                <w:szCs w:val="20"/>
              </w:rPr>
            </w:pPr>
            <w:proofErr w:type="spellStart"/>
            <w:r w:rsidRPr="000B5CA9">
              <w:rPr>
                <w:rFonts w:ascii="Times New Roman" w:hAnsi="Times New Roman" w:cs="Times New Roman"/>
                <w:sz w:val="18"/>
                <w:szCs w:val="20"/>
              </w:rPr>
              <w:t>longwave</w:t>
            </w:r>
            <w:proofErr w:type="spellEnd"/>
            <w:r w:rsidRPr="000B5CA9">
              <w:rPr>
                <w:rFonts w:ascii="Times New Roman" w:hAnsi="Times New Roman" w:cs="Times New Roman"/>
                <w:sz w:val="18"/>
                <w:szCs w:val="20"/>
              </w:rPr>
              <w:t xml:space="preserve"> IR: 0.8 cm</w:t>
            </w:r>
            <w:r w:rsidRPr="000B5CA9">
              <w:rPr>
                <w:rFonts w:ascii="Times New Roman" w:hAnsi="Times New Roman" w:cs="Times New Roman"/>
                <w:sz w:val="18"/>
                <w:szCs w:val="20"/>
                <w:vertAlign w:val="superscript"/>
              </w:rPr>
              <w:t>-1</w:t>
            </w:r>
          </w:p>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medium / shortwave IR: 1.6 cm</w:t>
            </w:r>
            <w:r w:rsidRPr="000B5CA9">
              <w:rPr>
                <w:rFonts w:ascii="Times New Roman" w:hAnsi="Times New Roman" w:cs="Times New Roman"/>
                <w:sz w:val="18"/>
                <w:szCs w:val="20"/>
                <w:vertAlign w:val="superscript"/>
              </w:rPr>
              <w:t>-1</w:t>
            </w:r>
          </w:p>
        </w:tc>
      </w:tr>
      <w:tr w:rsidR="00477A60" w:rsidRPr="000B5CA9" w:rsidTr="007F39D8">
        <w:trPr>
          <w:cantSplit/>
        </w:trPr>
        <w:tc>
          <w:tcPr>
            <w:tcW w:w="259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Spatial resolution</w:t>
            </w:r>
          </w:p>
        </w:tc>
        <w:tc>
          <w:tcPr>
            <w:tcW w:w="3663"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visible: 2 km</w:t>
            </w:r>
          </w:p>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infrared: 16 km</w:t>
            </w:r>
          </w:p>
        </w:tc>
      </w:tr>
      <w:tr w:rsidR="00477A60" w:rsidRPr="000B5CA9" w:rsidTr="007F39D8">
        <w:trPr>
          <w:cantSplit/>
        </w:trPr>
        <w:tc>
          <w:tcPr>
            <w:tcW w:w="259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Temporal resolution</w:t>
            </w:r>
          </w:p>
        </w:tc>
        <w:tc>
          <w:tcPr>
            <w:tcW w:w="3663"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35 minutes / 1000km</w:t>
            </w:r>
            <w:r w:rsidRPr="000B5CA9">
              <w:rPr>
                <w:rFonts w:ascii="Times New Roman" w:eastAsia="宋体" w:hAnsi="宋体" w:cs="Times New Roman"/>
                <w:sz w:val="18"/>
                <w:szCs w:val="20"/>
              </w:rPr>
              <w:t>╳</w:t>
            </w:r>
            <w:r w:rsidRPr="000B5CA9">
              <w:rPr>
                <w:rFonts w:ascii="Times New Roman" w:hAnsi="Times New Roman" w:cs="Times New Roman"/>
                <w:sz w:val="18"/>
                <w:szCs w:val="20"/>
              </w:rPr>
              <w:t>1000km</w:t>
            </w:r>
          </w:p>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67 minutes / 5000km</w:t>
            </w:r>
            <w:r w:rsidRPr="000B5CA9">
              <w:rPr>
                <w:rFonts w:ascii="Times New Roman" w:eastAsia="宋体" w:hAnsi="宋体" w:cs="Times New Roman"/>
                <w:sz w:val="18"/>
                <w:szCs w:val="20"/>
              </w:rPr>
              <w:t>╳</w:t>
            </w:r>
            <w:r w:rsidRPr="000B5CA9">
              <w:rPr>
                <w:rFonts w:ascii="Times New Roman" w:hAnsi="Times New Roman" w:cs="Times New Roman"/>
                <w:sz w:val="18"/>
                <w:szCs w:val="20"/>
              </w:rPr>
              <w:t>5000km</w:t>
            </w:r>
          </w:p>
        </w:tc>
      </w:tr>
      <w:tr w:rsidR="00477A60" w:rsidRPr="000B5CA9" w:rsidTr="007F39D8">
        <w:trPr>
          <w:cantSplit/>
        </w:trPr>
        <w:tc>
          <w:tcPr>
            <w:tcW w:w="259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Field of observation</w:t>
            </w:r>
          </w:p>
        </w:tc>
        <w:tc>
          <w:tcPr>
            <w:tcW w:w="3663"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22.2° circle, with regional observation ability</w:t>
            </w:r>
          </w:p>
        </w:tc>
      </w:tr>
      <w:tr w:rsidR="00477A60" w:rsidRPr="000B5CA9" w:rsidTr="007F39D8">
        <w:trPr>
          <w:cantSplit/>
        </w:trPr>
        <w:tc>
          <w:tcPr>
            <w:tcW w:w="259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Star sensing ability</w:t>
            </w:r>
          </w:p>
        </w:tc>
        <w:tc>
          <w:tcPr>
            <w:tcW w:w="3663"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 xml:space="preserve">6.5 </w:t>
            </w:r>
            <w:proofErr w:type="spellStart"/>
            <w:r w:rsidRPr="000B5CA9">
              <w:rPr>
                <w:rFonts w:ascii="Times New Roman" w:hAnsi="Times New Roman" w:cs="Times New Roman"/>
                <w:sz w:val="18"/>
                <w:szCs w:val="20"/>
              </w:rPr>
              <w:t>Mv</w:t>
            </w:r>
            <w:proofErr w:type="spellEnd"/>
          </w:p>
        </w:tc>
      </w:tr>
      <w:tr w:rsidR="00477A60" w:rsidRPr="000B5CA9" w:rsidTr="007F39D8">
        <w:trPr>
          <w:cantSplit/>
        </w:trPr>
        <w:tc>
          <w:tcPr>
            <w:tcW w:w="259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Navigation accuracy</w:t>
            </w:r>
          </w:p>
        </w:tc>
        <w:tc>
          <w:tcPr>
            <w:tcW w:w="3663"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1 infrared pixel</w:t>
            </w:r>
          </w:p>
        </w:tc>
      </w:tr>
      <w:tr w:rsidR="00477A60" w:rsidRPr="000B5CA9" w:rsidTr="007F39D8">
        <w:trPr>
          <w:cantSplit/>
        </w:trPr>
        <w:tc>
          <w:tcPr>
            <w:tcW w:w="259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Radiation calibration accuracy</w:t>
            </w:r>
          </w:p>
        </w:tc>
        <w:tc>
          <w:tcPr>
            <w:tcW w:w="3663"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1.5 K</w:t>
            </w:r>
          </w:p>
        </w:tc>
      </w:tr>
      <w:tr w:rsidR="00477A60" w:rsidRPr="000B5CA9" w:rsidTr="007F39D8">
        <w:trPr>
          <w:cantSplit/>
        </w:trPr>
        <w:tc>
          <w:tcPr>
            <w:tcW w:w="2595"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Spectrum calibration accuracy</w:t>
            </w:r>
          </w:p>
        </w:tc>
        <w:tc>
          <w:tcPr>
            <w:tcW w:w="3663" w:type="dxa"/>
            <w:vAlign w:val="center"/>
          </w:tcPr>
          <w:p w:rsidR="00477A60" w:rsidRPr="000B5CA9" w:rsidRDefault="00477A60" w:rsidP="00426E3B">
            <w:pPr>
              <w:rPr>
                <w:rFonts w:ascii="Times New Roman" w:hAnsi="Times New Roman" w:cs="Times New Roman"/>
                <w:sz w:val="18"/>
                <w:szCs w:val="20"/>
              </w:rPr>
            </w:pPr>
            <w:r w:rsidRPr="000B5CA9">
              <w:rPr>
                <w:rFonts w:ascii="Times New Roman" w:hAnsi="Times New Roman" w:cs="Times New Roman"/>
                <w:sz w:val="18"/>
                <w:szCs w:val="20"/>
              </w:rPr>
              <w:t xml:space="preserve">10 </w:t>
            </w:r>
            <w:proofErr w:type="spellStart"/>
            <w:r w:rsidRPr="000B5CA9">
              <w:rPr>
                <w:rFonts w:ascii="Times New Roman" w:hAnsi="Times New Roman" w:cs="Times New Roman"/>
                <w:sz w:val="18"/>
                <w:szCs w:val="20"/>
              </w:rPr>
              <w:t>ppm</w:t>
            </w:r>
            <w:proofErr w:type="spellEnd"/>
          </w:p>
        </w:tc>
      </w:tr>
    </w:tbl>
    <w:p w:rsidR="008047C4" w:rsidRPr="000B5CA9" w:rsidRDefault="008047C4" w:rsidP="008047C4">
      <w:pPr>
        <w:rPr>
          <w:rFonts w:ascii="Times New Roman" w:hAnsi="Times New Roman" w:cs="Times New Roman"/>
        </w:rPr>
      </w:pPr>
    </w:p>
    <w:p w:rsidR="008047C4" w:rsidRPr="000B5CA9" w:rsidRDefault="008047C4" w:rsidP="008A0062">
      <w:pPr>
        <w:rPr>
          <w:rFonts w:ascii="Times New Roman" w:hAnsi="Times New Roman" w:cs="Times New Roman"/>
        </w:rPr>
      </w:pPr>
      <w:r w:rsidRPr="000B5CA9">
        <w:rPr>
          <w:rFonts w:ascii="Times New Roman" w:hAnsi="Times New Roman" w:cs="Times New Roman"/>
        </w:rPr>
        <w:t>Question 2:</w:t>
      </w:r>
      <w:r w:rsidR="008A0062" w:rsidRPr="000B5CA9">
        <w:rPr>
          <w:rFonts w:ascii="Times New Roman" w:hAnsi="Times New Roman" w:cs="Times New Roman"/>
        </w:rPr>
        <w:t xml:space="preserve"> The detector array of star observation should be provided as auxiliary explanation, before the star observation strategies are proposed.</w:t>
      </w:r>
    </w:p>
    <w:p w:rsidR="008047C4" w:rsidRPr="000B5CA9" w:rsidRDefault="008047C4" w:rsidP="008047C4">
      <w:pPr>
        <w:rPr>
          <w:rFonts w:ascii="Times New Roman" w:hAnsi="Times New Roman" w:cs="Times New Roman"/>
        </w:rPr>
      </w:pPr>
      <w:r w:rsidRPr="000B5CA9">
        <w:rPr>
          <w:rFonts w:ascii="Times New Roman" w:hAnsi="Times New Roman" w:cs="Times New Roman"/>
        </w:rPr>
        <w:t>Answer:</w:t>
      </w:r>
    </w:p>
    <w:p w:rsidR="00316BB0" w:rsidRPr="000B5CA9" w:rsidRDefault="00316BB0" w:rsidP="00316BB0">
      <w:pPr>
        <w:rPr>
          <w:rFonts w:ascii="Times New Roman" w:hAnsi="Times New Roman" w:cs="Times New Roman"/>
        </w:rPr>
      </w:pPr>
      <w:r w:rsidRPr="000B5CA9">
        <w:rPr>
          <w:rFonts w:ascii="Times New Roman" w:hAnsi="Times New Roman" w:cs="Times New Roman"/>
        </w:rPr>
        <w:t>AGRI has 14 observation bands, the second (0.55-0.75μm) of which is designed to sense stars of magnitude higher than 6.0, as shown in Table 2. The detector size is 32 (north-south direction) by 4 (west-east direction), with a gap between adjacent columns, which is shown is Fig. 1. This must be considered in developing AGRI's star observation strategy to guide its in-orbit daily star sensing.</w:t>
      </w:r>
    </w:p>
    <w:p w:rsidR="00316BB0" w:rsidRPr="000B5CA9" w:rsidRDefault="00316BB0" w:rsidP="00316BB0">
      <w:pPr>
        <w:pStyle w:val="a7"/>
        <w:spacing w:line="360" w:lineRule="auto"/>
        <w:rPr>
          <w:sz w:val="20"/>
          <w:lang w:eastAsia="zh-CN"/>
        </w:rPr>
      </w:pPr>
      <w:r w:rsidRPr="000B5CA9">
        <w:object w:dxaOrig="5838" w:dyaOrig="6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pt;height:213pt" o:ole="">
            <v:imagedata r:id="rId6" o:title=""/>
          </v:shape>
          <o:OLEObject Type="Embed" ProgID="Visio.Drawing.11" ShapeID="_x0000_i1025" DrawAspect="Content" ObjectID="_1618814961" r:id="rId7"/>
        </w:object>
      </w:r>
    </w:p>
    <w:p w:rsidR="00316BB0" w:rsidRPr="000B5CA9" w:rsidRDefault="00316BB0" w:rsidP="00316BB0">
      <w:pPr>
        <w:pStyle w:val="a6"/>
        <w:rPr>
          <w:rFonts w:eastAsiaTheme="minorEastAsia"/>
          <w:lang w:eastAsia="zh-CN"/>
        </w:rPr>
      </w:pPr>
      <w:r w:rsidRPr="000B5CA9">
        <w:t xml:space="preserve">Figure </w:t>
      </w:r>
      <w:r w:rsidR="00F773A0" w:rsidRPr="000B5CA9">
        <w:fldChar w:fldCharType="begin"/>
      </w:r>
      <w:r w:rsidRPr="000B5CA9">
        <w:instrText xml:space="preserve"> SEQ Figure \* ARABIC </w:instrText>
      </w:r>
      <w:r w:rsidR="00F773A0" w:rsidRPr="000B5CA9">
        <w:fldChar w:fldCharType="separate"/>
      </w:r>
      <w:r w:rsidRPr="000B5CA9">
        <w:rPr>
          <w:noProof/>
        </w:rPr>
        <w:t>1</w:t>
      </w:r>
      <w:r w:rsidR="00F773A0" w:rsidRPr="000B5CA9">
        <w:fldChar w:fldCharType="end"/>
      </w:r>
      <w:r w:rsidRPr="000B5CA9">
        <w:t xml:space="preserve">: </w:t>
      </w:r>
      <w:r w:rsidRPr="000B5CA9">
        <w:rPr>
          <w:rFonts w:eastAsiaTheme="minorEastAsia"/>
          <w:noProof/>
          <w:lang w:eastAsia="zh-CN"/>
        </w:rPr>
        <w:t>Detector array diagram of AGRI</w:t>
      </w:r>
      <w:r w:rsidRPr="000B5CA9">
        <w:t>.</w:t>
      </w:r>
    </w:p>
    <w:p w:rsidR="007F39D8" w:rsidRPr="000B5CA9" w:rsidRDefault="007F39D8" w:rsidP="008047C4">
      <w:pPr>
        <w:rPr>
          <w:rFonts w:ascii="Times New Roman" w:hAnsi="Times New Roman" w:cs="Times New Roman"/>
          <w:lang w:val="en-GB"/>
        </w:rPr>
      </w:pPr>
    </w:p>
    <w:p w:rsidR="00316BB0" w:rsidRPr="000B5CA9" w:rsidRDefault="00316BB0" w:rsidP="00316BB0">
      <w:pPr>
        <w:rPr>
          <w:rFonts w:ascii="Times New Roman" w:hAnsi="Times New Roman" w:cs="Times New Roman"/>
          <w:lang w:val="en-GB"/>
        </w:rPr>
      </w:pPr>
      <w:r w:rsidRPr="000B5CA9">
        <w:rPr>
          <w:rFonts w:ascii="Times New Roman" w:hAnsi="Times New Roman" w:cs="Times New Roman"/>
          <w:lang w:val="en-GB"/>
        </w:rPr>
        <w:t xml:space="preserve">GIIRS is designed deliberately with a visible band (0.55-0.75μm) to sense stars of magnitude lower than 6.5. The detector size is 330 (north-south direction) by 256 (west-east direction) and no gap between adjacent columns as well as rows, which is shown is Fig. 3. Star observation strategy of GIIRS must also be developed, considering both the similarities and differences between AGRI and GIIRS. The similarities include requirements of star </w:t>
      </w:r>
      <w:proofErr w:type="spellStart"/>
      <w:r w:rsidRPr="000B5CA9">
        <w:rPr>
          <w:rFonts w:ascii="Times New Roman" w:hAnsi="Times New Roman" w:cs="Times New Roman"/>
          <w:lang w:val="en-GB"/>
        </w:rPr>
        <w:t>centroid</w:t>
      </w:r>
      <w:proofErr w:type="spellEnd"/>
      <w:r w:rsidRPr="000B5CA9">
        <w:rPr>
          <w:rFonts w:ascii="Times New Roman" w:hAnsi="Times New Roman" w:cs="Times New Roman"/>
          <w:lang w:val="en-GB"/>
        </w:rPr>
        <w:t xml:space="preserve"> extraction as well as thermal elastic deformation parameter calculation. The main difference comes from the different instantaneous field of view (IFOV), which will be analyzed in detail.</w:t>
      </w:r>
    </w:p>
    <w:p w:rsidR="00316BB0" w:rsidRPr="000B5CA9" w:rsidRDefault="00316BB0" w:rsidP="00316BB0">
      <w:pPr>
        <w:rPr>
          <w:rFonts w:ascii="Times New Roman" w:hAnsi="Times New Roman" w:cs="Times New Roman"/>
          <w:szCs w:val="20"/>
        </w:rPr>
      </w:pPr>
      <w:r w:rsidRPr="000B5CA9">
        <w:rPr>
          <w:rFonts w:ascii="Times New Roman" w:hAnsi="Times New Roman" w:cs="Times New Roman"/>
        </w:rPr>
        <w:object w:dxaOrig="5951" w:dyaOrig="6745">
          <v:shape id="_x0000_i1026" type="#_x0000_t75" style="width:192pt;height:218.5pt" o:ole="">
            <v:imagedata r:id="rId8" o:title=""/>
          </v:shape>
          <o:OLEObject Type="Embed" ProgID="Visio.Drawing.11" ShapeID="_x0000_i1026" DrawAspect="Content" ObjectID="_1618814962" r:id="rId9"/>
        </w:object>
      </w:r>
    </w:p>
    <w:p w:rsidR="00316BB0" w:rsidRPr="000B5CA9" w:rsidRDefault="00316BB0" w:rsidP="00316BB0">
      <w:pPr>
        <w:pStyle w:val="a6"/>
        <w:rPr>
          <w:rFonts w:eastAsiaTheme="minorEastAsia"/>
          <w:lang w:eastAsia="zh-CN"/>
        </w:rPr>
      </w:pPr>
      <w:r w:rsidRPr="000B5CA9">
        <w:t xml:space="preserve">Figure </w:t>
      </w:r>
      <w:r w:rsidRPr="000B5CA9">
        <w:rPr>
          <w:rFonts w:eastAsiaTheme="minorEastAsia"/>
          <w:lang w:eastAsia="zh-CN"/>
        </w:rPr>
        <w:t>3</w:t>
      </w:r>
      <w:r w:rsidRPr="000B5CA9">
        <w:t xml:space="preserve">: </w:t>
      </w:r>
      <w:r w:rsidRPr="000B5CA9">
        <w:rPr>
          <w:rFonts w:eastAsiaTheme="minorEastAsia"/>
          <w:noProof/>
          <w:lang w:eastAsia="zh-CN"/>
        </w:rPr>
        <w:t>Detector array diagram of GIIRS</w:t>
      </w:r>
      <w:r w:rsidRPr="000B5CA9">
        <w:t>.</w:t>
      </w:r>
    </w:p>
    <w:p w:rsidR="008047C4" w:rsidRPr="000B5CA9" w:rsidRDefault="008047C4" w:rsidP="008047C4">
      <w:pPr>
        <w:rPr>
          <w:rFonts w:ascii="Times New Roman" w:hAnsi="Times New Roman" w:cs="Times New Roman"/>
        </w:rPr>
      </w:pPr>
    </w:p>
    <w:p w:rsidR="008047C4" w:rsidRPr="000B5CA9" w:rsidRDefault="008047C4" w:rsidP="008A0062">
      <w:pPr>
        <w:rPr>
          <w:rFonts w:ascii="Times New Roman" w:hAnsi="Times New Roman" w:cs="Times New Roman"/>
        </w:rPr>
      </w:pPr>
      <w:r w:rsidRPr="000B5CA9">
        <w:rPr>
          <w:rFonts w:ascii="Times New Roman" w:hAnsi="Times New Roman" w:cs="Times New Roman"/>
        </w:rPr>
        <w:t xml:space="preserve">Question </w:t>
      </w:r>
      <w:r w:rsidR="008A0062" w:rsidRPr="000B5CA9">
        <w:rPr>
          <w:rFonts w:ascii="Times New Roman" w:hAnsi="Times New Roman" w:cs="Times New Roman"/>
        </w:rPr>
        <w:t>3</w:t>
      </w:r>
      <w:r w:rsidRPr="000B5CA9">
        <w:rPr>
          <w:rFonts w:ascii="Times New Roman" w:hAnsi="Times New Roman" w:cs="Times New Roman"/>
        </w:rPr>
        <w:t>:</w:t>
      </w:r>
      <w:r w:rsidR="008A0062" w:rsidRPr="000B5CA9">
        <w:rPr>
          <w:rFonts w:ascii="Times New Roman" w:hAnsi="Times New Roman" w:cs="Times New Roman"/>
        </w:rPr>
        <w:t xml:space="preserve"> The star observation strategy can be analyzed based on instrument parameters and characteristics, respectively in page 5 and page 7.</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p>
    <w:p w:rsidR="00D9407B" w:rsidRPr="000B5CA9" w:rsidRDefault="00D9407B" w:rsidP="008047C4">
      <w:pPr>
        <w:rPr>
          <w:rFonts w:ascii="Times New Roman" w:hAnsi="Times New Roman" w:cs="Times New Roman"/>
        </w:rPr>
      </w:pPr>
      <w:r w:rsidRPr="000B5CA9">
        <w:rPr>
          <w:rFonts w:ascii="Times New Roman" w:hAnsi="Times New Roman" w:cs="Times New Roman"/>
        </w:rPr>
        <w:lastRenderedPageBreak/>
        <w:t>For AGRI, the detector size is 32 by 4, with a gap between adjacent columns, which is shown i</w:t>
      </w:r>
      <w:r w:rsidR="00EE3F7D" w:rsidRPr="000B5CA9">
        <w:rPr>
          <w:rFonts w:ascii="Times New Roman" w:hAnsi="Times New Roman" w:cs="Times New Roman"/>
        </w:rPr>
        <w:t>n</w:t>
      </w:r>
      <w:r w:rsidRPr="000B5CA9">
        <w:rPr>
          <w:rFonts w:ascii="Times New Roman" w:hAnsi="Times New Roman" w:cs="Times New Roman"/>
        </w:rPr>
        <w:t xml:space="preserve"> Fig. 1. This must be considered in developing AGRI's star observation strategy. Dwell observation mode is recommended for star sensing, waiting for the star crossing the whole focal plane, aiming at obtaining star observation data of relative long time series. This can effectively improve the accuracy of star </w:t>
      </w:r>
      <w:proofErr w:type="spellStart"/>
      <w:r w:rsidRPr="000B5CA9">
        <w:rPr>
          <w:rFonts w:ascii="Times New Roman" w:hAnsi="Times New Roman" w:cs="Times New Roman"/>
        </w:rPr>
        <w:t>centroid</w:t>
      </w:r>
      <w:proofErr w:type="spellEnd"/>
      <w:r w:rsidRPr="000B5CA9">
        <w:rPr>
          <w:rFonts w:ascii="Times New Roman" w:hAnsi="Times New Roman" w:cs="Times New Roman"/>
        </w:rPr>
        <w:t xml:space="preserve"> extraction. </w:t>
      </w:r>
      <w:r w:rsidR="00AA0B4C" w:rsidRPr="000B5CA9">
        <w:rPr>
          <w:rFonts w:ascii="Times New Roman" w:hAnsi="Times New Roman" w:cs="Times New Roman"/>
        </w:rPr>
        <w:t xml:space="preserve">AGRI's angular resolution determines the minimal distance </w:t>
      </w:r>
      <w:r w:rsidR="003106C8" w:rsidRPr="000B5CA9">
        <w:rPr>
          <w:rFonts w:ascii="Times New Roman" w:hAnsi="Times New Roman" w:cs="Times New Roman"/>
        </w:rPr>
        <w:t xml:space="preserve">between any two </w:t>
      </w:r>
      <w:r w:rsidR="00AA0B4C" w:rsidRPr="000B5CA9">
        <w:rPr>
          <w:rFonts w:ascii="Times New Roman" w:hAnsi="Times New Roman" w:cs="Times New Roman"/>
        </w:rPr>
        <w:t xml:space="preserve">candidate stars. </w:t>
      </w:r>
      <w:r w:rsidRPr="000B5CA9">
        <w:rPr>
          <w:rFonts w:ascii="Times New Roman" w:hAnsi="Times New Roman" w:cs="Times New Roman"/>
        </w:rPr>
        <w:t>Another characteristic of AGRI is its small detector</w:t>
      </w:r>
      <w:r w:rsidR="003106C8" w:rsidRPr="000B5CA9">
        <w:rPr>
          <w:rFonts w:ascii="Times New Roman" w:hAnsi="Times New Roman" w:cs="Times New Roman"/>
        </w:rPr>
        <w:t xml:space="preserve"> size</w:t>
      </w:r>
      <w:r w:rsidRPr="000B5CA9">
        <w:rPr>
          <w:rFonts w:ascii="Times New Roman" w:hAnsi="Times New Roman" w:cs="Times New Roman"/>
        </w:rPr>
        <w:t>, which means</w:t>
      </w:r>
      <w:r w:rsidR="00AA0B4C" w:rsidRPr="000B5CA9">
        <w:rPr>
          <w:rFonts w:ascii="Times New Roman" w:hAnsi="Times New Roman" w:cs="Times New Roman"/>
        </w:rPr>
        <w:t xml:space="preserve"> most of the time only one star can be observed. This </w:t>
      </w:r>
      <w:r w:rsidR="003106C8" w:rsidRPr="000B5CA9">
        <w:rPr>
          <w:rFonts w:ascii="Times New Roman" w:hAnsi="Times New Roman" w:cs="Times New Roman"/>
        </w:rPr>
        <w:t>directly influences the minimal distance between the candidate star</w:t>
      </w:r>
      <w:r w:rsidR="00AA0B4C" w:rsidRPr="000B5CA9">
        <w:rPr>
          <w:rFonts w:ascii="Times New Roman" w:hAnsi="Times New Roman" w:cs="Times New Roman"/>
        </w:rPr>
        <w:t xml:space="preserve"> </w:t>
      </w:r>
      <w:r w:rsidR="003106C8" w:rsidRPr="000B5CA9">
        <w:rPr>
          <w:rFonts w:ascii="Times New Roman" w:hAnsi="Times New Roman" w:cs="Times New Roman"/>
        </w:rPr>
        <w:t>and another star.</w:t>
      </w:r>
    </w:p>
    <w:p w:rsidR="00D9407B" w:rsidRPr="000B5CA9" w:rsidRDefault="00D9407B" w:rsidP="008047C4">
      <w:pPr>
        <w:rPr>
          <w:rFonts w:ascii="Times New Roman" w:hAnsi="Times New Roman" w:cs="Times New Roman"/>
        </w:rPr>
      </w:pPr>
      <w:r w:rsidRPr="000B5CA9">
        <w:rPr>
          <w:rFonts w:ascii="Times New Roman" w:hAnsi="Times New Roman" w:cs="Times New Roman"/>
        </w:rPr>
        <w:t xml:space="preserve">For GIIRS, </w:t>
      </w:r>
      <w:r w:rsidR="0030478B" w:rsidRPr="000B5CA9">
        <w:rPr>
          <w:rFonts w:ascii="Times New Roman" w:hAnsi="Times New Roman" w:cs="Times New Roman"/>
        </w:rPr>
        <w:t xml:space="preserve">its star sensing ability is higher than AGRI, which means there are more stars that can be </w:t>
      </w:r>
      <w:r w:rsidR="000A301E" w:rsidRPr="000B5CA9">
        <w:rPr>
          <w:rFonts w:ascii="Times New Roman" w:hAnsi="Times New Roman" w:cs="Times New Roman"/>
        </w:rPr>
        <w:t>observed</w:t>
      </w:r>
      <w:r w:rsidR="0030478B" w:rsidRPr="000B5CA9">
        <w:rPr>
          <w:rFonts w:ascii="Times New Roman" w:hAnsi="Times New Roman" w:cs="Times New Roman"/>
        </w:rPr>
        <w:t xml:space="preserve">. </w:t>
      </w:r>
      <w:r w:rsidR="005B0A7F" w:rsidRPr="000B5CA9">
        <w:rPr>
          <w:rFonts w:ascii="Times New Roman" w:hAnsi="Times New Roman" w:cs="Times New Roman"/>
        </w:rPr>
        <w:t xml:space="preserve">And its detector size is larger, </w:t>
      </w:r>
      <w:r w:rsidR="006F29F2" w:rsidRPr="000B5CA9">
        <w:rPr>
          <w:rFonts w:ascii="Times New Roman" w:hAnsi="Times New Roman" w:cs="Times New Roman"/>
        </w:rPr>
        <w:t xml:space="preserve">as shown in Fig. 3, </w:t>
      </w:r>
      <w:r w:rsidR="005B0A7F" w:rsidRPr="000B5CA9">
        <w:rPr>
          <w:rFonts w:ascii="Times New Roman" w:hAnsi="Times New Roman" w:cs="Times New Roman"/>
        </w:rPr>
        <w:t xml:space="preserve">which means not only one star but also multiple stars can be observed at a time. Thus multiple star selection strategy should first be considered because this is advantageous for </w:t>
      </w:r>
      <w:r w:rsidR="00E0217A" w:rsidRPr="000B5CA9">
        <w:rPr>
          <w:rFonts w:ascii="Times New Roman" w:hAnsi="Times New Roman" w:cs="Times New Roman"/>
        </w:rPr>
        <w:t>star recognition. Another characteristic of GIIRS is it can't wait for the star crossing the whole focal plane, as its detector is so large. A small area of less than 10 pixels near the center of the detector is chosen to be used for star sensing, in order to save observation time as well as to avoid the effect of distortion at the edge of the detector.</w:t>
      </w:r>
    </w:p>
    <w:p w:rsidR="00BC4A49" w:rsidRPr="000B5CA9" w:rsidRDefault="002C7BF2" w:rsidP="008047C4">
      <w:pPr>
        <w:rPr>
          <w:rFonts w:ascii="Times New Roman" w:hAnsi="Times New Roman" w:cs="Times New Roman"/>
        </w:rPr>
      </w:pPr>
      <w:r w:rsidRPr="000B5CA9">
        <w:rPr>
          <w:rFonts w:ascii="Times New Roman" w:hAnsi="Times New Roman" w:cs="Times New Roman"/>
        </w:rPr>
        <w:t>Thus t</w:t>
      </w:r>
      <w:r w:rsidR="00BC4A49" w:rsidRPr="000B5CA9">
        <w:rPr>
          <w:rFonts w:ascii="Times New Roman" w:hAnsi="Times New Roman" w:cs="Times New Roman"/>
        </w:rPr>
        <w:t>wo specific star observation strategies are developed respectively for the two instruments, based on their similarities and differences.</w:t>
      </w:r>
    </w:p>
    <w:p w:rsidR="008047C4" w:rsidRPr="000B5CA9" w:rsidRDefault="008047C4" w:rsidP="008047C4">
      <w:pPr>
        <w:rPr>
          <w:rFonts w:ascii="Times New Roman" w:hAnsi="Times New Roman" w:cs="Times New Roman"/>
        </w:rPr>
      </w:pPr>
    </w:p>
    <w:p w:rsidR="008047C4" w:rsidRPr="000B5CA9" w:rsidRDefault="008047C4" w:rsidP="008A0062">
      <w:pPr>
        <w:rPr>
          <w:rFonts w:ascii="Times New Roman" w:hAnsi="Times New Roman" w:cs="Times New Roman"/>
        </w:rPr>
      </w:pPr>
      <w:r w:rsidRPr="000B5CA9">
        <w:rPr>
          <w:rFonts w:ascii="Times New Roman" w:hAnsi="Times New Roman" w:cs="Times New Roman"/>
        </w:rPr>
        <w:t xml:space="preserve">Question </w:t>
      </w:r>
      <w:r w:rsidR="008A0062" w:rsidRPr="000B5CA9">
        <w:rPr>
          <w:rFonts w:ascii="Times New Roman" w:hAnsi="Times New Roman" w:cs="Times New Roman"/>
        </w:rPr>
        <w:t>4</w:t>
      </w:r>
      <w:r w:rsidRPr="000B5CA9">
        <w:rPr>
          <w:rFonts w:ascii="Times New Roman" w:hAnsi="Times New Roman" w:cs="Times New Roman"/>
        </w:rPr>
        <w:t>:</w:t>
      </w:r>
      <w:r w:rsidR="008A0062" w:rsidRPr="000B5CA9">
        <w:rPr>
          <w:rFonts w:ascii="Times New Roman" w:hAnsi="Times New Roman" w:cs="Times New Roman"/>
        </w:rPr>
        <w:t xml:space="preserve"> The overall instrument observation strate</w:t>
      </w:r>
      <w:r w:rsidR="005B0A7F" w:rsidRPr="000B5CA9">
        <w:rPr>
          <w:rFonts w:ascii="Times New Roman" w:hAnsi="Times New Roman" w:cs="Times New Roman"/>
        </w:rPr>
        <w:t>g</w:t>
      </w:r>
      <w:r w:rsidR="008A0062" w:rsidRPr="000B5CA9">
        <w:rPr>
          <w:rFonts w:ascii="Times New Roman" w:hAnsi="Times New Roman" w:cs="Times New Roman"/>
        </w:rPr>
        <w:t>y, including full disk observation, blackbody observation, star observation, et al., should be described and summarized in a table or figure clearly in page 8 before the simulation.</w:t>
      </w:r>
    </w:p>
    <w:p w:rsidR="008029CF" w:rsidRPr="000B5CA9" w:rsidRDefault="008047C4" w:rsidP="008029CF">
      <w:pPr>
        <w:rPr>
          <w:rFonts w:ascii="Times New Roman" w:hAnsi="Times New Roman" w:cs="Times New Roman"/>
        </w:rPr>
      </w:pPr>
      <w:r w:rsidRPr="000B5CA9">
        <w:rPr>
          <w:rFonts w:ascii="Times New Roman" w:hAnsi="Times New Roman" w:cs="Times New Roman"/>
        </w:rPr>
        <w:t xml:space="preserve">Answer: </w:t>
      </w:r>
      <w:r w:rsidR="008029CF" w:rsidRPr="000B5CA9">
        <w:rPr>
          <w:rFonts w:ascii="Times New Roman" w:hAnsi="Times New Roman" w:cs="Times New Roman"/>
        </w:rPr>
        <w:t>The AGRI observation strategy and GIIRS observation strategy are proposed above in detail. In every time block, one full disk task or three China region tasks, one infrared background task, one blackbody task and one star task are arranged for AGRI, while one region task, one blackbody task, one cold space task and one star task are arranged for GIIRS. The time block is shown if Fig. 4 for clarity. FY-4A satellite's daily operation is implemented based on these two time blocks.</w:t>
      </w:r>
    </w:p>
    <w:p w:rsidR="008029CF" w:rsidRPr="000B5CA9" w:rsidRDefault="008029CF" w:rsidP="008029CF">
      <w:pPr>
        <w:rPr>
          <w:rFonts w:ascii="Times New Roman" w:hAnsi="Times New Roman" w:cs="Times New Roman"/>
        </w:rPr>
      </w:pPr>
      <w:r w:rsidRPr="000B5CA9">
        <w:rPr>
          <w:rFonts w:ascii="Times New Roman" w:hAnsi="Times New Roman" w:cs="Times New Roman"/>
        </w:rPr>
        <w:t xml:space="preserve">a) </w:t>
      </w:r>
      <w:r w:rsidRPr="000B5CA9">
        <w:rPr>
          <w:rFonts w:ascii="Times New Roman" w:hAnsi="Times New Roman" w:cs="Times New Roman"/>
        </w:rPr>
        <w:object w:dxaOrig="11394" w:dyaOrig="905">
          <v:shape id="_x0000_i1027" type="#_x0000_t75" style="width:397pt;height:31.5pt" o:ole="">
            <v:imagedata r:id="rId10" o:title=""/>
          </v:shape>
          <o:OLEObject Type="Embed" ProgID="Visio.Drawing.11" ShapeID="_x0000_i1027" DrawAspect="Content" ObjectID="_1618814963" r:id="rId11"/>
        </w:object>
      </w:r>
    </w:p>
    <w:p w:rsidR="008029CF" w:rsidRPr="000B5CA9" w:rsidRDefault="008029CF" w:rsidP="008029CF">
      <w:pPr>
        <w:rPr>
          <w:rFonts w:ascii="Times New Roman" w:hAnsi="Times New Roman" w:cs="Times New Roman"/>
        </w:rPr>
      </w:pPr>
      <w:r w:rsidRPr="000B5CA9">
        <w:rPr>
          <w:rFonts w:ascii="Times New Roman" w:hAnsi="Times New Roman" w:cs="Times New Roman"/>
        </w:rPr>
        <w:t xml:space="preserve">b) </w:t>
      </w:r>
      <w:r w:rsidRPr="000B5CA9">
        <w:rPr>
          <w:rFonts w:ascii="Times New Roman" w:hAnsi="Times New Roman" w:cs="Times New Roman"/>
        </w:rPr>
        <w:object w:dxaOrig="11394" w:dyaOrig="905">
          <v:shape id="_x0000_i1028" type="#_x0000_t75" style="width:396.5pt;height:31.5pt" o:ole="">
            <v:imagedata r:id="rId12" o:title=""/>
          </v:shape>
          <o:OLEObject Type="Embed" ProgID="Visio.Drawing.11" ShapeID="_x0000_i1028" DrawAspect="Content" ObjectID="_1618814964" r:id="rId13"/>
        </w:object>
      </w:r>
    </w:p>
    <w:p w:rsidR="008029CF" w:rsidRPr="000B5CA9" w:rsidRDefault="008029CF" w:rsidP="008029CF">
      <w:pPr>
        <w:pStyle w:val="a6"/>
        <w:rPr>
          <w:rFonts w:eastAsiaTheme="minorEastAsia"/>
          <w:lang w:eastAsia="zh-CN"/>
        </w:rPr>
      </w:pPr>
      <w:r w:rsidRPr="000B5CA9">
        <w:rPr>
          <w:rFonts w:eastAsiaTheme="minorEastAsia"/>
          <w:lang w:eastAsia="zh-CN"/>
        </w:rPr>
        <w:t>Figure</w:t>
      </w:r>
      <w:r w:rsidRPr="000B5CA9">
        <w:t xml:space="preserve"> </w:t>
      </w:r>
      <w:r w:rsidRPr="000B5CA9">
        <w:rPr>
          <w:rFonts w:eastAsiaTheme="minorEastAsia"/>
          <w:lang w:eastAsia="zh-CN"/>
        </w:rPr>
        <w:t>4</w:t>
      </w:r>
      <w:r w:rsidRPr="000B5CA9">
        <w:t xml:space="preserve">: </w:t>
      </w:r>
      <w:r w:rsidRPr="000B5CA9">
        <w:rPr>
          <w:rFonts w:eastAsiaTheme="minorEastAsia"/>
          <w:lang w:eastAsia="zh-CN"/>
        </w:rPr>
        <w:t>Time blocks for AGRI and GIIRS used in daily operation</w:t>
      </w:r>
      <w:r w:rsidRPr="000B5CA9">
        <w:t xml:space="preserve">: (a) </w:t>
      </w:r>
      <w:r w:rsidRPr="000B5CA9">
        <w:rPr>
          <w:rFonts w:eastAsiaTheme="minorEastAsia"/>
          <w:lang w:eastAsia="zh-CN"/>
        </w:rPr>
        <w:t>AGRI and</w:t>
      </w:r>
      <w:r w:rsidRPr="000B5CA9">
        <w:rPr>
          <w:lang w:eastAsia="zh-CN"/>
        </w:rPr>
        <w:t xml:space="preserve"> (b) </w:t>
      </w:r>
      <w:r w:rsidRPr="000B5CA9">
        <w:rPr>
          <w:rFonts w:eastAsiaTheme="minorEastAsia"/>
          <w:lang w:eastAsia="zh-CN"/>
        </w:rPr>
        <w:t>GIIRS</w:t>
      </w:r>
      <w:r w:rsidRPr="000B5CA9">
        <w:t>.</w:t>
      </w:r>
    </w:p>
    <w:p w:rsidR="008047C4" w:rsidRPr="000B5CA9" w:rsidRDefault="008047C4">
      <w:pPr>
        <w:rPr>
          <w:rFonts w:ascii="Times New Roman" w:hAnsi="Times New Roman" w:cs="Times New Roman"/>
        </w:rPr>
      </w:pPr>
    </w:p>
    <w:sectPr w:rsidR="008047C4" w:rsidRPr="000B5CA9" w:rsidSect="00F773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C5C" w:rsidRDefault="00886C5C" w:rsidP="008047C4">
      <w:r>
        <w:separator/>
      </w:r>
    </w:p>
  </w:endnote>
  <w:endnote w:type="continuationSeparator" w:id="0">
    <w:p w:rsidR="00886C5C" w:rsidRDefault="00886C5C" w:rsidP="008047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C5C" w:rsidRDefault="00886C5C" w:rsidP="008047C4">
      <w:r>
        <w:separator/>
      </w:r>
    </w:p>
  </w:footnote>
  <w:footnote w:type="continuationSeparator" w:id="0">
    <w:p w:rsidR="00886C5C" w:rsidRDefault="00886C5C" w:rsidP="008047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47C4"/>
    <w:rsid w:val="00012F5F"/>
    <w:rsid w:val="00037B68"/>
    <w:rsid w:val="0005305B"/>
    <w:rsid w:val="00054D85"/>
    <w:rsid w:val="000A301E"/>
    <w:rsid w:val="000B5CA9"/>
    <w:rsid w:val="00135A1A"/>
    <w:rsid w:val="002B46BB"/>
    <w:rsid w:val="002C7BF2"/>
    <w:rsid w:val="002D16BF"/>
    <w:rsid w:val="0030478B"/>
    <w:rsid w:val="003106C8"/>
    <w:rsid w:val="00315D83"/>
    <w:rsid w:val="00316BB0"/>
    <w:rsid w:val="00370AB9"/>
    <w:rsid w:val="003A6CD8"/>
    <w:rsid w:val="003C2D55"/>
    <w:rsid w:val="003F06DC"/>
    <w:rsid w:val="003F650E"/>
    <w:rsid w:val="00477A60"/>
    <w:rsid w:val="00492F71"/>
    <w:rsid w:val="004B7AB5"/>
    <w:rsid w:val="004E7F42"/>
    <w:rsid w:val="004F19C1"/>
    <w:rsid w:val="004F5101"/>
    <w:rsid w:val="0054644C"/>
    <w:rsid w:val="00573F95"/>
    <w:rsid w:val="005B0A7F"/>
    <w:rsid w:val="00653E8D"/>
    <w:rsid w:val="00675445"/>
    <w:rsid w:val="006D30BF"/>
    <w:rsid w:val="006F29F2"/>
    <w:rsid w:val="0071186A"/>
    <w:rsid w:val="007D4270"/>
    <w:rsid w:val="007F0E23"/>
    <w:rsid w:val="007F39D8"/>
    <w:rsid w:val="008029CF"/>
    <w:rsid w:val="008047C4"/>
    <w:rsid w:val="008319FA"/>
    <w:rsid w:val="00871C24"/>
    <w:rsid w:val="00886C5C"/>
    <w:rsid w:val="008A0062"/>
    <w:rsid w:val="0091533F"/>
    <w:rsid w:val="00984144"/>
    <w:rsid w:val="009E28FA"/>
    <w:rsid w:val="00A03E2C"/>
    <w:rsid w:val="00A36DDB"/>
    <w:rsid w:val="00A427E2"/>
    <w:rsid w:val="00A5314F"/>
    <w:rsid w:val="00A64E17"/>
    <w:rsid w:val="00A65701"/>
    <w:rsid w:val="00A7232F"/>
    <w:rsid w:val="00AA0B4C"/>
    <w:rsid w:val="00AD503E"/>
    <w:rsid w:val="00B55AF1"/>
    <w:rsid w:val="00B65AC5"/>
    <w:rsid w:val="00BC4A49"/>
    <w:rsid w:val="00C97580"/>
    <w:rsid w:val="00D92291"/>
    <w:rsid w:val="00D9407B"/>
    <w:rsid w:val="00E0217A"/>
    <w:rsid w:val="00E55475"/>
    <w:rsid w:val="00EE3F7D"/>
    <w:rsid w:val="00F05697"/>
    <w:rsid w:val="00F773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3A0"/>
    <w:pPr>
      <w:widowControl w:val="0"/>
      <w:jc w:val="both"/>
    </w:pPr>
  </w:style>
  <w:style w:type="paragraph" w:styleId="1">
    <w:name w:val="heading 1"/>
    <w:basedOn w:val="a"/>
    <w:next w:val="a"/>
    <w:link w:val="1Char"/>
    <w:uiPriority w:val="9"/>
    <w:qFormat/>
    <w:rsid w:val="008047C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47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47C4"/>
    <w:rPr>
      <w:sz w:val="18"/>
      <w:szCs w:val="18"/>
    </w:rPr>
  </w:style>
  <w:style w:type="paragraph" w:styleId="a4">
    <w:name w:val="footer"/>
    <w:basedOn w:val="a"/>
    <w:link w:val="Char0"/>
    <w:uiPriority w:val="99"/>
    <w:semiHidden/>
    <w:unhideWhenUsed/>
    <w:rsid w:val="008047C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47C4"/>
    <w:rPr>
      <w:sz w:val="18"/>
      <w:szCs w:val="18"/>
    </w:rPr>
  </w:style>
  <w:style w:type="character" w:customStyle="1" w:styleId="1Char">
    <w:name w:val="标题 1 Char"/>
    <w:basedOn w:val="a0"/>
    <w:link w:val="1"/>
    <w:uiPriority w:val="9"/>
    <w:rsid w:val="008047C4"/>
    <w:rPr>
      <w:b/>
      <w:bCs/>
      <w:kern w:val="44"/>
      <w:sz w:val="44"/>
      <w:szCs w:val="44"/>
    </w:rPr>
  </w:style>
  <w:style w:type="paragraph" w:styleId="a5">
    <w:name w:val="Document Map"/>
    <w:basedOn w:val="a"/>
    <w:link w:val="Char1"/>
    <w:uiPriority w:val="99"/>
    <w:semiHidden/>
    <w:unhideWhenUsed/>
    <w:rsid w:val="008047C4"/>
    <w:rPr>
      <w:rFonts w:ascii="宋体" w:eastAsia="宋体"/>
      <w:sz w:val="18"/>
      <w:szCs w:val="18"/>
    </w:rPr>
  </w:style>
  <w:style w:type="character" w:customStyle="1" w:styleId="Char1">
    <w:name w:val="文档结构图 Char"/>
    <w:basedOn w:val="a0"/>
    <w:link w:val="a5"/>
    <w:uiPriority w:val="99"/>
    <w:semiHidden/>
    <w:rsid w:val="008047C4"/>
    <w:rPr>
      <w:rFonts w:ascii="宋体" w:eastAsia="宋体"/>
      <w:sz w:val="18"/>
      <w:szCs w:val="18"/>
    </w:rPr>
  </w:style>
  <w:style w:type="paragraph" w:styleId="a6">
    <w:name w:val="caption"/>
    <w:basedOn w:val="a"/>
    <w:next w:val="a"/>
    <w:uiPriority w:val="35"/>
    <w:unhideWhenUsed/>
    <w:qFormat/>
    <w:rsid w:val="00477A60"/>
    <w:pPr>
      <w:widowControl/>
      <w:spacing w:after="200"/>
    </w:pPr>
    <w:rPr>
      <w:rFonts w:ascii="Times New Roman" w:eastAsia="Times New Roman" w:hAnsi="Times New Roman" w:cs="Times New Roman"/>
      <w:b/>
      <w:bCs/>
      <w:kern w:val="0"/>
      <w:sz w:val="18"/>
      <w:szCs w:val="18"/>
      <w:lang w:val="en-GB" w:eastAsia="de-DE"/>
    </w:rPr>
  </w:style>
  <w:style w:type="paragraph" w:styleId="a7">
    <w:name w:val="Body Text"/>
    <w:basedOn w:val="a"/>
    <w:link w:val="Char2"/>
    <w:rsid w:val="00316BB0"/>
    <w:pPr>
      <w:widowControl/>
      <w:spacing w:line="480" w:lineRule="auto"/>
    </w:pPr>
    <w:rPr>
      <w:rFonts w:ascii="Times New Roman" w:hAnsi="Times New Roman" w:cs="Times New Roman"/>
      <w:kern w:val="0"/>
      <w:sz w:val="24"/>
      <w:szCs w:val="24"/>
      <w:lang w:eastAsia="en-US"/>
    </w:rPr>
  </w:style>
  <w:style w:type="character" w:customStyle="1" w:styleId="Char2">
    <w:name w:val="正文文本 Char"/>
    <w:basedOn w:val="a0"/>
    <w:link w:val="a7"/>
    <w:rsid w:val="00316BB0"/>
    <w:rPr>
      <w:rFonts w:ascii="Times New Roman" w:hAnsi="Times New Roman" w:cs="Times New Roman"/>
      <w:kern w:val="0"/>
      <w:sz w:val="24"/>
      <w:szCs w:val="24"/>
      <w:lang w:eastAsia="en-US"/>
    </w:rPr>
  </w:style>
  <w:style w:type="character" w:styleId="a8">
    <w:name w:val="Placeholder Text"/>
    <w:basedOn w:val="a0"/>
    <w:uiPriority w:val="99"/>
    <w:semiHidden/>
    <w:rsid w:val="000B5CA9"/>
    <w:rPr>
      <w:color w:val="808080"/>
    </w:rPr>
  </w:style>
  <w:style w:type="paragraph" w:styleId="a9">
    <w:name w:val="Balloon Text"/>
    <w:basedOn w:val="a"/>
    <w:link w:val="Char3"/>
    <w:uiPriority w:val="99"/>
    <w:semiHidden/>
    <w:unhideWhenUsed/>
    <w:rsid w:val="000B5CA9"/>
    <w:rPr>
      <w:sz w:val="18"/>
      <w:szCs w:val="18"/>
    </w:rPr>
  </w:style>
  <w:style w:type="character" w:customStyle="1" w:styleId="Char3">
    <w:name w:val="批注框文本 Char"/>
    <w:basedOn w:val="a0"/>
    <w:link w:val="a9"/>
    <w:uiPriority w:val="99"/>
    <w:semiHidden/>
    <w:rsid w:val="000B5CA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4.bin"/><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4</Pages>
  <Words>1044</Words>
  <Characters>5952</Characters>
  <Application>Microsoft Office Word</Application>
  <DocSecurity>0</DocSecurity>
  <Lines>49</Lines>
  <Paragraphs>13</Paragraphs>
  <ScaleCrop>false</ScaleCrop>
  <Company/>
  <LinksUpToDate>false</LinksUpToDate>
  <CharactersWithSpaces>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919</dc:creator>
  <cp:keywords/>
  <dc:description/>
  <cp:lastModifiedBy>919</cp:lastModifiedBy>
  <cp:revision>51</cp:revision>
  <dcterms:created xsi:type="dcterms:W3CDTF">2019-05-07T01:37:00Z</dcterms:created>
  <dcterms:modified xsi:type="dcterms:W3CDTF">2019-05-08T02:02:00Z</dcterms:modified>
</cp:coreProperties>
</file>